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604" w:rsidRPr="008C4B9E" w:rsidRDefault="00207604" w:rsidP="0021538A">
      <w:pPr>
        <w:spacing w:line="480" w:lineRule="auto"/>
        <w:ind w:firstLine="720"/>
        <w:jc w:val="center"/>
        <w:rPr>
          <w:rFonts w:ascii="Times New Roman" w:hAnsi="Times New Roman" w:cs="Times New Roman"/>
          <w:sz w:val="24"/>
          <w:szCs w:val="24"/>
        </w:rPr>
      </w:pPr>
      <w:bookmarkStart w:id="0" w:name="_GoBack"/>
      <w:bookmarkEnd w:id="0"/>
    </w:p>
    <w:p w:rsidR="003C0CEB" w:rsidRPr="008C4B9E" w:rsidRDefault="003C0CEB" w:rsidP="0021538A">
      <w:pPr>
        <w:spacing w:line="480" w:lineRule="auto"/>
        <w:ind w:firstLine="720"/>
        <w:jc w:val="center"/>
        <w:rPr>
          <w:rFonts w:ascii="Times New Roman" w:hAnsi="Times New Roman" w:cs="Times New Roman"/>
          <w:sz w:val="24"/>
          <w:szCs w:val="24"/>
        </w:rPr>
      </w:pPr>
    </w:p>
    <w:p w:rsidR="003C0CEB" w:rsidRPr="008C4B9E" w:rsidRDefault="003C0CEB" w:rsidP="0021538A">
      <w:pPr>
        <w:spacing w:line="480" w:lineRule="auto"/>
        <w:ind w:firstLine="720"/>
        <w:jc w:val="center"/>
        <w:rPr>
          <w:rFonts w:ascii="Times New Roman" w:hAnsi="Times New Roman" w:cs="Times New Roman"/>
          <w:sz w:val="24"/>
          <w:szCs w:val="24"/>
        </w:rPr>
      </w:pPr>
    </w:p>
    <w:p w:rsidR="003C0CEB" w:rsidRPr="008C4B9E" w:rsidRDefault="003C0CEB" w:rsidP="0021538A">
      <w:pPr>
        <w:spacing w:line="480" w:lineRule="auto"/>
        <w:ind w:firstLine="720"/>
        <w:jc w:val="center"/>
        <w:rPr>
          <w:rFonts w:ascii="Times New Roman" w:hAnsi="Times New Roman" w:cs="Times New Roman"/>
          <w:sz w:val="24"/>
          <w:szCs w:val="24"/>
        </w:rPr>
      </w:pPr>
    </w:p>
    <w:p w:rsidR="00207604" w:rsidRPr="008C4B9E" w:rsidRDefault="001719C8" w:rsidP="0021538A">
      <w:pPr>
        <w:spacing w:line="480" w:lineRule="auto"/>
        <w:ind w:firstLine="720"/>
        <w:jc w:val="center"/>
        <w:rPr>
          <w:rFonts w:ascii="Times New Roman" w:hAnsi="Times New Roman" w:cs="Times New Roman"/>
          <w:sz w:val="24"/>
          <w:szCs w:val="24"/>
        </w:rPr>
      </w:pPr>
      <w:r w:rsidRPr="008C4B9E">
        <w:rPr>
          <w:rFonts w:ascii="Times New Roman" w:hAnsi="Times New Roman" w:cs="Times New Roman"/>
          <w:sz w:val="24"/>
          <w:szCs w:val="24"/>
        </w:rPr>
        <w:t xml:space="preserve">Best Practices </w:t>
      </w:r>
      <w:r w:rsidR="00261ED8" w:rsidRPr="008C4B9E">
        <w:rPr>
          <w:rFonts w:ascii="Times New Roman" w:hAnsi="Times New Roman" w:cs="Times New Roman"/>
          <w:sz w:val="24"/>
          <w:szCs w:val="24"/>
        </w:rPr>
        <w:t>in</w:t>
      </w:r>
      <w:r w:rsidRPr="008C4B9E">
        <w:rPr>
          <w:rFonts w:ascii="Times New Roman" w:hAnsi="Times New Roman" w:cs="Times New Roman"/>
          <w:sz w:val="24"/>
          <w:szCs w:val="24"/>
        </w:rPr>
        <w:t xml:space="preserve"> </w:t>
      </w:r>
      <w:r w:rsidR="00261ED8" w:rsidRPr="008C4B9E">
        <w:rPr>
          <w:rFonts w:ascii="Times New Roman" w:hAnsi="Times New Roman" w:cs="Times New Roman"/>
          <w:sz w:val="24"/>
          <w:szCs w:val="24"/>
        </w:rPr>
        <w:t>the</w:t>
      </w:r>
      <w:r w:rsidRPr="008C4B9E">
        <w:rPr>
          <w:rFonts w:ascii="Times New Roman" w:hAnsi="Times New Roman" w:cs="Times New Roman"/>
          <w:sz w:val="24"/>
          <w:szCs w:val="24"/>
        </w:rPr>
        <w:t xml:space="preserve"> Revenue Cycle Management</w:t>
      </w:r>
    </w:p>
    <w:p w:rsidR="00207604" w:rsidRPr="008C4B9E" w:rsidRDefault="001719C8" w:rsidP="0021538A">
      <w:pPr>
        <w:spacing w:line="480" w:lineRule="auto"/>
        <w:ind w:firstLine="720"/>
        <w:jc w:val="center"/>
        <w:rPr>
          <w:rFonts w:ascii="Times New Roman" w:hAnsi="Times New Roman" w:cs="Times New Roman"/>
          <w:sz w:val="24"/>
          <w:szCs w:val="24"/>
        </w:rPr>
      </w:pPr>
      <w:r w:rsidRPr="008C4B9E">
        <w:rPr>
          <w:rFonts w:ascii="Times New Roman" w:hAnsi="Times New Roman" w:cs="Times New Roman"/>
          <w:sz w:val="24"/>
          <w:szCs w:val="24"/>
        </w:rPr>
        <w:t>Student’s Name</w:t>
      </w:r>
    </w:p>
    <w:p w:rsidR="00207604" w:rsidRPr="008C4B9E" w:rsidRDefault="001719C8" w:rsidP="0021538A">
      <w:pPr>
        <w:spacing w:line="480" w:lineRule="auto"/>
        <w:ind w:firstLine="720"/>
        <w:jc w:val="center"/>
        <w:rPr>
          <w:rFonts w:ascii="Times New Roman" w:hAnsi="Times New Roman" w:cs="Times New Roman"/>
          <w:sz w:val="24"/>
          <w:szCs w:val="24"/>
        </w:rPr>
      </w:pPr>
      <w:r w:rsidRPr="008C4B9E">
        <w:rPr>
          <w:rFonts w:ascii="Times New Roman" w:hAnsi="Times New Roman" w:cs="Times New Roman"/>
          <w:sz w:val="24"/>
          <w:szCs w:val="24"/>
        </w:rPr>
        <w:t>Institutional affiliation</w:t>
      </w:r>
    </w:p>
    <w:p w:rsidR="00207604" w:rsidRPr="008C4B9E" w:rsidRDefault="00207604" w:rsidP="0021538A">
      <w:pPr>
        <w:spacing w:line="480" w:lineRule="auto"/>
        <w:ind w:firstLine="720"/>
        <w:jc w:val="both"/>
        <w:rPr>
          <w:rFonts w:ascii="Times New Roman" w:hAnsi="Times New Roman" w:cs="Times New Roman"/>
          <w:sz w:val="24"/>
          <w:szCs w:val="24"/>
        </w:rPr>
      </w:pPr>
    </w:p>
    <w:p w:rsidR="00207604" w:rsidRPr="008C4B9E" w:rsidRDefault="00207604" w:rsidP="0021538A">
      <w:pPr>
        <w:spacing w:line="480" w:lineRule="auto"/>
        <w:ind w:firstLine="720"/>
        <w:jc w:val="both"/>
        <w:rPr>
          <w:rFonts w:ascii="Times New Roman" w:hAnsi="Times New Roman" w:cs="Times New Roman"/>
          <w:sz w:val="24"/>
          <w:szCs w:val="24"/>
        </w:rPr>
      </w:pPr>
    </w:p>
    <w:p w:rsidR="00207604" w:rsidRPr="008C4B9E" w:rsidRDefault="00207604" w:rsidP="0021538A">
      <w:pPr>
        <w:spacing w:line="480" w:lineRule="auto"/>
        <w:ind w:firstLine="720"/>
        <w:jc w:val="both"/>
        <w:rPr>
          <w:rFonts w:ascii="Times New Roman" w:hAnsi="Times New Roman" w:cs="Times New Roman"/>
          <w:sz w:val="24"/>
          <w:szCs w:val="24"/>
        </w:rPr>
      </w:pPr>
    </w:p>
    <w:p w:rsidR="00207604" w:rsidRPr="008C4B9E" w:rsidRDefault="00207604" w:rsidP="0021538A">
      <w:pPr>
        <w:spacing w:line="480" w:lineRule="auto"/>
        <w:ind w:firstLine="720"/>
        <w:jc w:val="both"/>
        <w:rPr>
          <w:rFonts w:ascii="Times New Roman" w:hAnsi="Times New Roman" w:cs="Times New Roman"/>
          <w:sz w:val="24"/>
          <w:szCs w:val="24"/>
        </w:rPr>
      </w:pPr>
    </w:p>
    <w:p w:rsidR="00207604" w:rsidRPr="008C4B9E" w:rsidRDefault="00207604" w:rsidP="0021538A">
      <w:pPr>
        <w:spacing w:line="480" w:lineRule="auto"/>
        <w:ind w:firstLine="720"/>
        <w:jc w:val="both"/>
        <w:rPr>
          <w:rFonts w:ascii="Times New Roman" w:hAnsi="Times New Roman" w:cs="Times New Roman"/>
          <w:sz w:val="24"/>
          <w:szCs w:val="24"/>
        </w:rPr>
      </w:pPr>
    </w:p>
    <w:p w:rsidR="00207604" w:rsidRPr="008C4B9E" w:rsidRDefault="00207604" w:rsidP="0021538A">
      <w:pPr>
        <w:spacing w:line="480" w:lineRule="auto"/>
        <w:jc w:val="both"/>
        <w:rPr>
          <w:rFonts w:ascii="Times New Roman" w:hAnsi="Times New Roman" w:cs="Times New Roman"/>
          <w:sz w:val="24"/>
          <w:szCs w:val="24"/>
        </w:rPr>
      </w:pPr>
    </w:p>
    <w:p w:rsidR="003C0CEB" w:rsidRPr="008C4B9E" w:rsidRDefault="001719C8" w:rsidP="0021538A">
      <w:pPr>
        <w:spacing w:line="480" w:lineRule="auto"/>
        <w:rPr>
          <w:rFonts w:ascii="Times New Roman" w:hAnsi="Times New Roman" w:cs="Times New Roman"/>
          <w:b/>
          <w:sz w:val="24"/>
          <w:szCs w:val="24"/>
        </w:rPr>
      </w:pPr>
      <w:r w:rsidRPr="008C4B9E">
        <w:rPr>
          <w:rFonts w:ascii="Times New Roman" w:hAnsi="Times New Roman" w:cs="Times New Roman"/>
          <w:b/>
          <w:sz w:val="24"/>
          <w:szCs w:val="24"/>
        </w:rPr>
        <w:br w:type="page"/>
      </w:r>
    </w:p>
    <w:p w:rsidR="00207604" w:rsidRPr="008C4B9E" w:rsidRDefault="001719C8" w:rsidP="0021538A">
      <w:pPr>
        <w:spacing w:line="480" w:lineRule="auto"/>
        <w:ind w:firstLine="720"/>
        <w:jc w:val="center"/>
        <w:rPr>
          <w:rFonts w:ascii="Times New Roman" w:hAnsi="Times New Roman" w:cs="Times New Roman"/>
          <w:sz w:val="24"/>
          <w:szCs w:val="24"/>
        </w:rPr>
      </w:pPr>
      <w:r w:rsidRPr="008C4B9E">
        <w:rPr>
          <w:rFonts w:ascii="Times New Roman" w:hAnsi="Times New Roman" w:cs="Times New Roman"/>
          <w:sz w:val="24"/>
          <w:szCs w:val="24"/>
        </w:rPr>
        <w:lastRenderedPageBreak/>
        <w:t xml:space="preserve">Best Practice Concepts in </w:t>
      </w:r>
      <w:r w:rsidR="00261ED8" w:rsidRPr="008C4B9E">
        <w:rPr>
          <w:rFonts w:ascii="Times New Roman" w:hAnsi="Times New Roman" w:cs="Times New Roman"/>
          <w:sz w:val="24"/>
          <w:szCs w:val="24"/>
        </w:rPr>
        <w:t xml:space="preserve">the </w:t>
      </w:r>
      <w:r w:rsidRPr="008C4B9E">
        <w:rPr>
          <w:rFonts w:ascii="Times New Roman" w:hAnsi="Times New Roman" w:cs="Times New Roman"/>
          <w:sz w:val="24"/>
          <w:szCs w:val="24"/>
        </w:rPr>
        <w:t xml:space="preserve">Revenue Cycle Management </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The article provides a comprehensive analysis of the best practices regarding the revenue cycle. The authors define the revenue cycle as a financial process that is related to an indi</w:t>
      </w:r>
      <w:r w:rsidR="003C0CEB" w:rsidRPr="008C4B9E">
        <w:rPr>
          <w:rFonts w:ascii="Times New Roman" w:hAnsi="Times New Roman" w:cs="Times New Roman"/>
          <w:sz w:val="24"/>
          <w:szCs w:val="24"/>
        </w:rPr>
        <w:t>vidual’s clinical encounter. As a result,</w:t>
      </w:r>
      <w:r w:rsidRPr="008C4B9E">
        <w:rPr>
          <w:rFonts w:ascii="Times New Roman" w:hAnsi="Times New Roman" w:cs="Times New Roman"/>
          <w:sz w:val="24"/>
          <w:szCs w:val="24"/>
        </w:rPr>
        <w:t xml:space="preserve"> revenue cycle revolv</w:t>
      </w:r>
      <w:r w:rsidR="003C0CEB" w:rsidRPr="008C4B9E">
        <w:rPr>
          <w:rFonts w:ascii="Times New Roman" w:hAnsi="Times New Roman" w:cs="Times New Roman"/>
          <w:sz w:val="24"/>
          <w:szCs w:val="24"/>
        </w:rPr>
        <w:t xml:space="preserve">es around three primary issues namely </w:t>
      </w:r>
      <w:r w:rsidRPr="008C4B9E">
        <w:rPr>
          <w:rFonts w:ascii="Times New Roman" w:hAnsi="Times New Roman" w:cs="Times New Roman"/>
          <w:sz w:val="24"/>
          <w:szCs w:val="24"/>
        </w:rPr>
        <w:t>the management of the payer contract, the customer services and compliance. The patient experience is initiated when the individual patient is scheduled for admission which then leads to the collection of the patients both payer</w:t>
      </w:r>
      <w:r w:rsidR="00A5335F" w:rsidRPr="008C4B9E">
        <w:rPr>
          <w:rFonts w:ascii="Times New Roman" w:hAnsi="Times New Roman" w:cs="Times New Roman"/>
          <w:sz w:val="24"/>
          <w:szCs w:val="24"/>
        </w:rPr>
        <w:t xml:space="preserve"> and demographic data. The literature</w:t>
      </w:r>
      <w:r w:rsidRPr="008C4B9E">
        <w:rPr>
          <w:rFonts w:ascii="Times New Roman" w:hAnsi="Times New Roman" w:cs="Times New Roman"/>
          <w:sz w:val="24"/>
          <w:szCs w:val="24"/>
        </w:rPr>
        <w:t xml:space="preserve"> seeks to</w:t>
      </w:r>
      <w:r w:rsidR="00A5335F" w:rsidRPr="008C4B9E">
        <w:rPr>
          <w:rFonts w:ascii="Times New Roman" w:hAnsi="Times New Roman" w:cs="Times New Roman"/>
          <w:sz w:val="24"/>
          <w:szCs w:val="24"/>
        </w:rPr>
        <w:t xml:space="preserve"> extensively</w:t>
      </w:r>
      <w:r w:rsidRPr="008C4B9E">
        <w:rPr>
          <w:rFonts w:ascii="Times New Roman" w:hAnsi="Times New Roman" w:cs="Times New Roman"/>
          <w:sz w:val="24"/>
          <w:szCs w:val="24"/>
        </w:rPr>
        <w:t xml:space="preserve"> provide a summary of the article and discuss the major financial concepts that are brought out in the Revenue cycle processes.</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 xml:space="preserve">The authors begin by pointing out that the processes involved in the revenue cycle often collide and impact on each other. When these processes are correctly executed, the cycle moves predictably. However, when errors are encountered in the early stages, they can have significant effects hence negatively affecting the efficiency, the performance and productivity. </w:t>
      </w:r>
      <w:proofErr w:type="gramStart"/>
      <w:r w:rsidRPr="008C4B9E">
        <w:rPr>
          <w:rFonts w:ascii="Times New Roman" w:hAnsi="Times New Roman" w:cs="Times New Roman"/>
          <w:sz w:val="24"/>
          <w:szCs w:val="24"/>
        </w:rPr>
        <w:t>The authors, therefore, advice the concerned individuals to have a profound understanding of the processes involved after the patient encounter.</w:t>
      </w:r>
      <w:proofErr w:type="gramEnd"/>
      <w:r w:rsidRPr="008C4B9E">
        <w:rPr>
          <w:rFonts w:ascii="Times New Roman" w:hAnsi="Times New Roman" w:cs="Times New Roman"/>
          <w:sz w:val="24"/>
          <w:szCs w:val="24"/>
        </w:rPr>
        <w:t xml:space="preserve"> The procedures mentioned are in this order; patient access, case management, service documentation, billing, A/R management and then lastly the customer service.</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 xml:space="preserve">The authors also discuss some of the front-end services and then back-end services of the revenue cycle. The front </w:t>
      </w:r>
      <w:proofErr w:type="gramStart"/>
      <w:r w:rsidRPr="008C4B9E">
        <w:rPr>
          <w:rFonts w:ascii="Times New Roman" w:hAnsi="Times New Roman" w:cs="Times New Roman"/>
          <w:sz w:val="24"/>
          <w:szCs w:val="24"/>
        </w:rPr>
        <w:t>office schedules and registers the patient and then verify</w:t>
      </w:r>
      <w:proofErr w:type="gramEnd"/>
      <w:r w:rsidRPr="008C4B9E">
        <w:rPr>
          <w:rFonts w:ascii="Times New Roman" w:hAnsi="Times New Roman" w:cs="Times New Roman"/>
          <w:sz w:val="24"/>
          <w:szCs w:val="24"/>
        </w:rPr>
        <w:t xml:space="preserve"> his or her documents before handing over the patient to the provider facility. The back office receives and re</w:t>
      </w:r>
      <w:r w:rsidR="003C0CEB" w:rsidRPr="008C4B9E">
        <w:rPr>
          <w:rFonts w:ascii="Times New Roman" w:hAnsi="Times New Roman" w:cs="Times New Roman"/>
          <w:sz w:val="24"/>
          <w:szCs w:val="24"/>
        </w:rPr>
        <w:t>cords the medical transcription and</w:t>
      </w:r>
      <w:r w:rsidRPr="008C4B9E">
        <w:rPr>
          <w:rFonts w:ascii="Times New Roman" w:hAnsi="Times New Roman" w:cs="Times New Roman"/>
          <w:sz w:val="24"/>
          <w:szCs w:val="24"/>
        </w:rPr>
        <w:t xml:space="preserve"> codes them before claiming submission. The second phase of the back office shall then post the payments before sending over the information to the </w:t>
      </w:r>
      <w:r w:rsidRPr="008C4B9E">
        <w:rPr>
          <w:rFonts w:ascii="Times New Roman" w:hAnsi="Times New Roman" w:cs="Times New Roman"/>
          <w:sz w:val="24"/>
          <w:szCs w:val="24"/>
        </w:rPr>
        <w:lastRenderedPageBreak/>
        <w:t>analysis department. The department basing on the information provided may either reject or accept the contract.</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Also, the article discusses the best practices that should be incorporated to improve the processes and the performance. In a patient-</w:t>
      </w:r>
      <w:r w:rsidR="00261ED8" w:rsidRPr="008C4B9E">
        <w:rPr>
          <w:rFonts w:ascii="Times New Roman" w:hAnsi="Times New Roman" w:cs="Times New Roman"/>
          <w:sz w:val="24"/>
          <w:szCs w:val="24"/>
        </w:rPr>
        <w:t>centered</w:t>
      </w:r>
      <w:r w:rsidRPr="008C4B9E">
        <w:rPr>
          <w:rFonts w:ascii="Times New Roman" w:hAnsi="Times New Roman" w:cs="Times New Roman"/>
          <w:sz w:val="24"/>
          <w:szCs w:val="24"/>
        </w:rPr>
        <w:t xml:space="preserve"> revenue cycle, patients should be the center of the revenue cycle. </w:t>
      </w:r>
      <w:r w:rsidR="003C0CEB" w:rsidRPr="008C4B9E">
        <w:rPr>
          <w:rFonts w:ascii="Times New Roman" w:hAnsi="Times New Roman" w:cs="Times New Roman"/>
          <w:sz w:val="24"/>
          <w:szCs w:val="24"/>
        </w:rPr>
        <w:t>According to National Rural Health Resource Center (2014), t</w:t>
      </w:r>
      <w:r w:rsidRPr="008C4B9E">
        <w:rPr>
          <w:rFonts w:ascii="Times New Roman" w:hAnsi="Times New Roman" w:cs="Times New Roman"/>
          <w:sz w:val="24"/>
          <w:szCs w:val="24"/>
        </w:rPr>
        <w:t>his can also be reinforced by encouraging the revenue cycle staff to participate in creating a good rapport with the patient and ensure that they are ultimat</w:t>
      </w:r>
      <w:r w:rsidR="003C0CEB" w:rsidRPr="008C4B9E">
        <w:rPr>
          <w:rFonts w:ascii="Times New Roman" w:hAnsi="Times New Roman" w:cs="Times New Roman"/>
          <w:sz w:val="24"/>
          <w:szCs w:val="24"/>
        </w:rPr>
        <w:t>ely satisfied with the services.</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During the scheduling and the pre-registration process, hospitals should incorporate best practice activities such as creating a centralized schedule that receives patients and also schedules the patients for the services. Additionally, it is also vital for the staff members at this stage to provide an estimate of the costs that a patient may encounter by the end of the session. These and among other factors contribute to the improvement of the revenue cycle performance just from the beginning.</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 xml:space="preserve">During the registration and administration of patients, it is essential that the verification of the patient’s documents is completed. Also, the authors encourage the utilization of electronic tools in making clinical decisions before evaluating the placement of the patients. It is also to the best practice that at this stage that the physicians and the staff are made aware of the medical necessities. </w:t>
      </w:r>
      <w:r w:rsidR="003C0CEB" w:rsidRPr="008C4B9E">
        <w:rPr>
          <w:rFonts w:ascii="Times New Roman" w:hAnsi="Times New Roman" w:cs="Times New Roman"/>
          <w:sz w:val="24"/>
          <w:szCs w:val="24"/>
        </w:rPr>
        <w:t>In addition, i</w:t>
      </w:r>
      <w:r w:rsidRPr="008C4B9E">
        <w:rPr>
          <w:rFonts w:ascii="Times New Roman" w:hAnsi="Times New Roman" w:cs="Times New Roman"/>
          <w:sz w:val="24"/>
          <w:szCs w:val="24"/>
        </w:rPr>
        <w:t>n the emergency rooms, hospitals should make sure that they assess the possible ways that the emergency department arrives at the E/M levels. At this point, the person</w:t>
      </w:r>
      <w:r w:rsidR="008C2331" w:rsidRPr="008C4B9E">
        <w:rPr>
          <w:rFonts w:ascii="Times New Roman" w:hAnsi="Times New Roman" w:cs="Times New Roman"/>
          <w:sz w:val="24"/>
          <w:szCs w:val="24"/>
        </w:rPr>
        <w:t xml:space="preserve"> in charge</w:t>
      </w:r>
      <w:r w:rsidRPr="008C4B9E">
        <w:rPr>
          <w:rFonts w:ascii="Times New Roman" w:hAnsi="Times New Roman" w:cs="Times New Roman"/>
          <w:sz w:val="24"/>
          <w:szCs w:val="24"/>
        </w:rPr>
        <w:t xml:space="preserve"> should also separate the procedur</w:t>
      </w:r>
      <w:r w:rsidR="003C0CEB" w:rsidRPr="008C4B9E">
        <w:rPr>
          <w:rFonts w:ascii="Times New Roman" w:hAnsi="Times New Roman" w:cs="Times New Roman"/>
          <w:sz w:val="24"/>
          <w:szCs w:val="24"/>
        </w:rPr>
        <w:t xml:space="preserve">e charges from the actual bill </w:t>
      </w:r>
      <w:r w:rsidR="008C2331" w:rsidRPr="008C4B9E">
        <w:rPr>
          <w:rFonts w:ascii="Times New Roman" w:hAnsi="Times New Roman" w:cs="Times New Roman"/>
          <w:sz w:val="24"/>
          <w:szCs w:val="24"/>
        </w:rPr>
        <w:t>(National Rural Health Resource Center, 2014)</w:t>
      </w:r>
      <w:r w:rsidR="003C0CEB" w:rsidRPr="008C4B9E">
        <w:rPr>
          <w:rFonts w:ascii="Times New Roman" w:hAnsi="Times New Roman" w:cs="Times New Roman"/>
          <w:sz w:val="24"/>
          <w:szCs w:val="24"/>
        </w:rPr>
        <w:t>.</w:t>
      </w:r>
    </w:p>
    <w:p w:rsidR="00062B98"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lastRenderedPageBreak/>
        <w:t>The financial concept brought out in the article is the Evaluation and management E/M levels. The authors note that most times the E/M is often overstated because they are often misreported, and this includes the CPT codes 99281-99285. Research indicates that the failure to choose to the right Current Procedural Terminology CPT) is the primary reason why most hospitals loose revenue. The underlying challenges are often two-fold; inability to understand the coding system and inadequate document</w:t>
      </w:r>
      <w:r w:rsidR="008D247D" w:rsidRPr="008C4B9E">
        <w:rPr>
          <w:rFonts w:ascii="Times New Roman" w:hAnsi="Times New Roman" w:cs="Times New Roman"/>
          <w:sz w:val="24"/>
          <w:szCs w:val="24"/>
        </w:rPr>
        <w:t xml:space="preserve">ation that supports the coding. </w:t>
      </w:r>
      <w:r w:rsidR="003C0CEB" w:rsidRPr="008C4B9E">
        <w:rPr>
          <w:rFonts w:ascii="Times New Roman" w:hAnsi="Times New Roman" w:cs="Times New Roman"/>
          <w:sz w:val="24"/>
          <w:szCs w:val="24"/>
        </w:rPr>
        <w:t>According to Kliethermes (2017), r</w:t>
      </w:r>
      <w:r w:rsidRPr="008C4B9E">
        <w:rPr>
          <w:rFonts w:ascii="Times New Roman" w:hAnsi="Times New Roman" w:cs="Times New Roman"/>
          <w:sz w:val="24"/>
          <w:szCs w:val="24"/>
        </w:rPr>
        <w:t>esearch</w:t>
      </w:r>
      <w:r w:rsidR="008D247D" w:rsidRPr="008C4B9E">
        <w:rPr>
          <w:rFonts w:ascii="Times New Roman" w:hAnsi="Times New Roman" w:cs="Times New Roman"/>
          <w:sz w:val="24"/>
          <w:szCs w:val="24"/>
        </w:rPr>
        <w:t xml:space="preserve"> </w:t>
      </w:r>
      <w:r w:rsidR="003C0CEB" w:rsidRPr="008C4B9E">
        <w:rPr>
          <w:rFonts w:ascii="Times New Roman" w:hAnsi="Times New Roman" w:cs="Times New Roman"/>
          <w:sz w:val="24"/>
          <w:szCs w:val="24"/>
        </w:rPr>
        <w:t>indicates</w:t>
      </w:r>
      <w:r w:rsidRPr="008C4B9E">
        <w:rPr>
          <w:rFonts w:ascii="Times New Roman" w:hAnsi="Times New Roman" w:cs="Times New Roman"/>
          <w:sz w:val="24"/>
          <w:szCs w:val="24"/>
        </w:rPr>
        <w:t xml:space="preserve"> that more than a third</w:t>
      </w:r>
      <w:r w:rsidR="003C0CEB" w:rsidRPr="008C4B9E">
        <w:rPr>
          <w:rFonts w:ascii="Times New Roman" w:hAnsi="Times New Roman" w:cs="Times New Roman"/>
          <w:sz w:val="24"/>
          <w:szCs w:val="24"/>
        </w:rPr>
        <w:t xml:space="preserve"> of the 60000 records </w:t>
      </w:r>
      <w:r w:rsidRPr="008C4B9E">
        <w:rPr>
          <w:rFonts w:ascii="Times New Roman" w:hAnsi="Times New Roman" w:cs="Times New Roman"/>
          <w:sz w:val="24"/>
          <w:szCs w:val="24"/>
        </w:rPr>
        <w:t xml:space="preserve">reviewed were either under-documented or undercoded. This consequently led to the loose of approximately </w:t>
      </w:r>
      <w:r w:rsidR="003C0CEB" w:rsidRPr="008C4B9E">
        <w:rPr>
          <w:rFonts w:ascii="Times New Roman" w:hAnsi="Times New Roman" w:cs="Times New Roman"/>
          <w:sz w:val="24"/>
          <w:szCs w:val="24"/>
        </w:rPr>
        <w:t>$</w:t>
      </w:r>
      <w:r w:rsidRPr="008C4B9E">
        <w:rPr>
          <w:rFonts w:ascii="Times New Roman" w:hAnsi="Times New Roman" w:cs="Times New Roman"/>
          <w:sz w:val="24"/>
          <w:szCs w:val="24"/>
        </w:rPr>
        <w:t>64,0</w:t>
      </w:r>
      <w:r w:rsidR="003C0CEB" w:rsidRPr="008C4B9E">
        <w:rPr>
          <w:rFonts w:ascii="Times New Roman" w:hAnsi="Times New Roman" w:cs="Times New Roman"/>
          <w:sz w:val="24"/>
          <w:szCs w:val="24"/>
        </w:rPr>
        <w:t>00 per each physician.</w:t>
      </w:r>
    </w:p>
    <w:p w:rsidR="00207604" w:rsidRPr="008C4B9E" w:rsidRDefault="001719C8" w:rsidP="0021538A">
      <w:pPr>
        <w:spacing w:line="480" w:lineRule="auto"/>
        <w:ind w:firstLine="720"/>
        <w:rPr>
          <w:rFonts w:ascii="Times New Roman" w:hAnsi="Times New Roman" w:cs="Times New Roman"/>
          <w:sz w:val="24"/>
          <w:szCs w:val="24"/>
        </w:rPr>
      </w:pPr>
      <w:r w:rsidRPr="008C4B9E">
        <w:rPr>
          <w:rFonts w:ascii="Times New Roman" w:hAnsi="Times New Roman" w:cs="Times New Roman"/>
          <w:sz w:val="24"/>
          <w:szCs w:val="24"/>
        </w:rPr>
        <w:t>The E/M financial concept can also be applied in Mayo Clinic especially to avoid huge losses caused by the factors discussed above. It is crucial that the clinic implements the right procedures and policies. An emergency room redirect program should be developed so that it sops any other s</w:t>
      </w:r>
      <w:r w:rsidR="003C0CEB" w:rsidRPr="008C4B9E">
        <w:rPr>
          <w:rFonts w:ascii="Times New Roman" w:hAnsi="Times New Roman" w:cs="Times New Roman"/>
          <w:sz w:val="24"/>
          <w:szCs w:val="24"/>
        </w:rPr>
        <w:t>ervice that is to be provided</w:t>
      </w:r>
      <w:r w:rsidRPr="008C4B9E">
        <w:rPr>
          <w:rFonts w:ascii="Times New Roman" w:hAnsi="Times New Roman" w:cs="Times New Roman"/>
          <w:sz w:val="24"/>
          <w:szCs w:val="24"/>
        </w:rPr>
        <w:t xml:space="preserve"> to patients who are non-emergent. Such patients are identified through the Emergency Medical Treatment &amp; Labor Act EMTALA screening. From there, the patients shall be sent back to the registration office whereby they will be given previous balances including co-payments and deductibles</w:t>
      </w:r>
      <w:r w:rsidR="003C0CEB" w:rsidRPr="008C4B9E">
        <w:rPr>
          <w:rFonts w:ascii="Times New Roman" w:hAnsi="Times New Roman" w:cs="Times New Roman"/>
          <w:sz w:val="24"/>
          <w:szCs w:val="24"/>
        </w:rPr>
        <w:t xml:space="preserve"> </w:t>
      </w:r>
      <w:r w:rsidR="008C2331" w:rsidRPr="008C4B9E">
        <w:rPr>
          <w:rFonts w:ascii="Times New Roman" w:hAnsi="Times New Roman" w:cs="Times New Roman"/>
          <w:sz w:val="24"/>
          <w:szCs w:val="24"/>
        </w:rPr>
        <w:t>(National Rural Health Resource Center, 2014)</w:t>
      </w:r>
      <w:r w:rsidRPr="008C4B9E">
        <w:rPr>
          <w:rFonts w:ascii="Times New Roman" w:hAnsi="Times New Roman" w:cs="Times New Roman"/>
          <w:sz w:val="24"/>
          <w:szCs w:val="24"/>
        </w:rPr>
        <w:t>. However, if the patient persists in seeking the ER services, the registration office shall take back the dues and allow the patient to process. The Mayo Clinic shall additionally create ways that the ER may r</w:t>
      </w:r>
      <w:r w:rsidR="0009532E" w:rsidRPr="008C4B9E">
        <w:rPr>
          <w:rFonts w:ascii="Times New Roman" w:hAnsi="Times New Roman" w:cs="Times New Roman"/>
          <w:sz w:val="24"/>
          <w:szCs w:val="24"/>
        </w:rPr>
        <w:t>each the E/M levels to enhance the</w:t>
      </w:r>
      <w:r w:rsidRPr="008C4B9E">
        <w:rPr>
          <w:rFonts w:ascii="Times New Roman" w:hAnsi="Times New Roman" w:cs="Times New Roman"/>
          <w:sz w:val="24"/>
          <w:szCs w:val="24"/>
        </w:rPr>
        <w:t xml:space="preserve"> accuracy of the reporting and conduct billing procedures separately.</w:t>
      </w:r>
      <w:r w:rsidR="002E23D6" w:rsidRPr="008C4B9E">
        <w:rPr>
          <w:rFonts w:ascii="Times New Roman" w:hAnsi="Times New Roman" w:cs="Times New Roman"/>
          <w:sz w:val="24"/>
          <w:szCs w:val="24"/>
        </w:rPr>
        <w:t xml:space="preserve"> This will not only help Mayo Clinic to provide quality and effective health services to the clients but also be competitive in the healthcare industry.</w:t>
      </w:r>
    </w:p>
    <w:p w:rsidR="003C0CEB" w:rsidRPr="008C4B9E" w:rsidRDefault="001719C8" w:rsidP="0021538A">
      <w:pPr>
        <w:spacing w:line="480" w:lineRule="auto"/>
        <w:rPr>
          <w:rFonts w:ascii="Times New Roman" w:hAnsi="Times New Roman" w:cs="Times New Roman"/>
          <w:sz w:val="24"/>
          <w:szCs w:val="24"/>
        </w:rPr>
      </w:pPr>
      <w:r w:rsidRPr="008C4B9E">
        <w:rPr>
          <w:rFonts w:ascii="Times New Roman" w:hAnsi="Times New Roman" w:cs="Times New Roman"/>
          <w:sz w:val="24"/>
          <w:szCs w:val="24"/>
        </w:rPr>
        <w:br w:type="page"/>
      </w:r>
    </w:p>
    <w:p w:rsidR="00207604" w:rsidRPr="008C4B9E" w:rsidRDefault="001719C8" w:rsidP="0021538A">
      <w:pPr>
        <w:spacing w:line="480" w:lineRule="auto"/>
        <w:ind w:firstLine="720"/>
        <w:jc w:val="center"/>
        <w:rPr>
          <w:rFonts w:ascii="Times New Roman" w:hAnsi="Times New Roman" w:cs="Times New Roman"/>
          <w:sz w:val="24"/>
          <w:szCs w:val="24"/>
        </w:rPr>
      </w:pPr>
      <w:r w:rsidRPr="008C4B9E">
        <w:rPr>
          <w:rFonts w:ascii="Times New Roman" w:hAnsi="Times New Roman" w:cs="Times New Roman"/>
          <w:sz w:val="24"/>
          <w:szCs w:val="24"/>
        </w:rPr>
        <w:lastRenderedPageBreak/>
        <w:t>Referenc</w:t>
      </w:r>
      <w:r w:rsidR="008C2331" w:rsidRPr="008C4B9E">
        <w:rPr>
          <w:rFonts w:ascii="Times New Roman" w:hAnsi="Times New Roman" w:cs="Times New Roman"/>
          <w:sz w:val="24"/>
          <w:szCs w:val="24"/>
        </w:rPr>
        <w:t>es</w:t>
      </w:r>
    </w:p>
    <w:p w:rsidR="00207604" w:rsidRPr="008C4B9E" w:rsidRDefault="001719C8" w:rsidP="0021538A">
      <w:pPr>
        <w:spacing w:line="480" w:lineRule="auto"/>
        <w:ind w:left="720" w:hanging="720"/>
        <w:rPr>
          <w:rFonts w:ascii="Times New Roman" w:hAnsi="Times New Roman" w:cs="Times New Roman"/>
          <w:sz w:val="24"/>
          <w:szCs w:val="24"/>
        </w:rPr>
      </w:pPr>
      <w:r w:rsidRPr="008C4B9E">
        <w:rPr>
          <w:rFonts w:ascii="Times New Roman" w:hAnsi="Times New Roman" w:cs="Times New Roman"/>
          <w:sz w:val="24"/>
          <w:szCs w:val="24"/>
        </w:rPr>
        <w:t xml:space="preserve">Kliethermes, M. A. (2017). </w:t>
      </w:r>
      <w:proofErr w:type="gramStart"/>
      <w:r w:rsidRPr="008C4B9E">
        <w:rPr>
          <w:rFonts w:ascii="Times New Roman" w:hAnsi="Times New Roman" w:cs="Times New Roman"/>
          <w:sz w:val="24"/>
          <w:szCs w:val="24"/>
        </w:rPr>
        <w:t>Understanding health care billing basics.</w:t>
      </w:r>
      <w:proofErr w:type="gramEnd"/>
      <w:r w:rsidRPr="008C4B9E">
        <w:rPr>
          <w:rFonts w:ascii="Times New Roman" w:hAnsi="Times New Roman" w:cs="Times New Roman"/>
          <w:sz w:val="24"/>
          <w:szCs w:val="24"/>
        </w:rPr>
        <w:t> </w:t>
      </w:r>
      <w:r w:rsidRPr="008C4B9E">
        <w:rPr>
          <w:rFonts w:ascii="Times New Roman" w:hAnsi="Times New Roman" w:cs="Times New Roman"/>
          <w:i/>
          <w:iCs/>
          <w:sz w:val="24"/>
          <w:szCs w:val="24"/>
        </w:rPr>
        <w:t>Pharmacy Today</w:t>
      </w:r>
      <w:r w:rsidRPr="008C4B9E">
        <w:rPr>
          <w:rFonts w:ascii="Times New Roman" w:hAnsi="Times New Roman" w:cs="Times New Roman"/>
          <w:sz w:val="24"/>
          <w:szCs w:val="24"/>
        </w:rPr>
        <w:t>, </w:t>
      </w:r>
      <w:r w:rsidRPr="008C4B9E">
        <w:rPr>
          <w:rFonts w:ascii="Times New Roman" w:hAnsi="Times New Roman" w:cs="Times New Roman"/>
          <w:i/>
          <w:iCs/>
          <w:sz w:val="24"/>
          <w:szCs w:val="24"/>
        </w:rPr>
        <w:t>23</w:t>
      </w:r>
      <w:r w:rsidRPr="008C4B9E">
        <w:rPr>
          <w:rFonts w:ascii="Times New Roman" w:hAnsi="Times New Roman" w:cs="Times New Roman"/>
          <w:sz w:val="24"/>
          <w:szCs w:val="24"/>
        </w:rPr>
        <w:t>(7), 57-68.</w:t>
      </w:r>
    </w:p>
    <w:sdt>
      <w:sdtPr>
        <w:rPr>
          <w:rFonts w:ascii="Times New Roman" w:hAnsi="Times New Roman" w:cs="Times New Roman"/>
          <w:sz w:val="24"/>
          <w:szCs w:val="24"/>
        </w:rPr>
        <w:id w:val="-573587230"/>
        <w:bibliography/>
      </w:sdtPr>
      <w:sdtContent>
        <w:p w:rsidR="008C4B9E" w:rsidRPr="008C4B9E" w:rsidRDefault="000E535D" w:rsidP="0021538A">
          <w:pPr>
            <w:shd w:val="clear" w:color="auto" w:fill="FFFFFF"/>
            <w:spacing w:line="480" w:lineRule="auto"/>
            <w:ind w:hanging="720"/>
            <w:rPr>
              <w:rFonts w:ascii="Times New Roman" w:eastAsia="Times New Roman" w:hAnsi="Times New Roman" w:cs="Times New Roman"/>
              <w:color w:val="222222"/>
              <w:sz w:val="24"/>
              <w:szCs w:val="24"/>
            </w:rPr>
          </w:pPr>
          <w:r w:rsidRPr="008C4B9E">
            <w:rPr>
              <w:rFonts w:ascii="Times New Roman" w:hAnsi="Times New Roman" w:cs="Times New Roman"/>
              <w:sz w:val="24"/>
              <w:szCs w:val="24"/>
            </w:rPr>
            <w:fldChar w:fldCharType="begin"/>
          </w:r>
          <w:r w:rsidR="001719C8" w:rsidRPr="008C4B9E">
            <w:rPr>
              <w:rFonts w:ascii="Times New Roman" w:hAnsi="Times New Roman" w:cs="Times New Roman"/>
              <w:sz w:val="24"/>
              <w:szCs w:val="24"/>
            </w:rPr>
            <w:instrText xml:space="preserve"> BIBLIOGRAPHY </w:instrText>
          </w:r>
          <w:r w:rsidRPr="008C4B9E">
            <w:rPr>
              <w:rFonts w:ascii="Times New Roman" w:hAnsi="Times New Roman" w:cs="Times New Roman"/>
              <w:sz w:val="24"/>
              <w:szCs w:val="24"/>
            </w:rPr>
            <w:fldChar w:fldCharType="separate"/>
          </w:r>
          <w:proofErr w:type="gramStart"/>
          <w:r w:rsidR="001719C8" w:rsidRPr="008C4B9E">
            <w:rPr>
              <w:rFonts w:ascii="Times New Roman" w:hAnsi="Times New Roman" w:cs="Times New Roman"/>
              <w:sz w:val="24"/>
              <w:szCs w:val="24"/>
            </w:rPr>
            <w:t>National Rural Health Resource Center (The Center), E. B. (2014).</w:t>
          </w:r>
          <w:proofErr w:type="gramEnd"/>
          <w:r w:rsidR="001719C8" w:rsidRPr="008C4B9E">
            <w:rPr>
              <w:rFonts w:ascii="Times New Roman" w:hAnsi="Times New Roman" w:cs="Times New Roman"/>
              <w:sz w:val="24"/>
              <w:szCs w:val="24"/>
            </w:rPr>
            <w:t xml:space="preserve"> Best Practice Concepts in Revenue Cycle Management Guide. </w:t>
          </w:r>
          <w:proofErr w:type="gramStart"/>
          <w:r w:rsidR="001719C8" w:rsidRPr="008C4B9E">
            <w:rPr>
              <w:rFonts w:ascii="Times New Roman" w:hAnsi="Times New Roman" w:cs="Times New Roman"/>
              <w:i/>
              <w:iCs/>
              <w:sz w:val="24"/>
              <w:szCs w:val="24"/>
            </w:rPr>
            <w:t>National Rural Health Resource Centre</w:t>
          </w:r>
          <w:r w:rsidR="003C0CEB" w:rsidRPr="008C4B9E">
            <w:rPr>
              <w:rFonts w:ascii="Times New Roman" w:hAnsi="Times New Roman" w:cs="Times New Roman"/>
              <w:sz w:val="24"/>
              <w:szCs w:val="24"/>
            </w:rPr>
            <w:t>.</w:t>
          </w:r>
          <w:proofErr w:type="gramEnd"/>
          <w:r w:rsidR="003C0CEB" w:rsidRPr="008C4B9E">
            <w:rPr>
              <w:rFonts w:ascii="Times New Roman" w:hAnsi="Times New Roman" w:cs="Times New Roman"/>
              <w:sz w:val="24"/>
              <w:szCs w:val="24"/>
            </w:rPr>
            <w:t xml:space="preserve"> Retrieved </w:t>
          </w:r>
          <w:r w:rsidR="001719C8" w:rsidRPr="008C4B9E">
            <w:rPr>
              <w:rFonts w:ascii="Times New Roman" w:hAnsi="Times New Roman" w:cs="Times New Roman"/>
              <w:sz w:val="24"/>
              <w:szCs w:val="24"/>
            </w:rPr>
            <w:t xml:space="preserve">from </w:t>
          </w:r>
          <w:hyperlink r:id="rId7" w:tgtFrame="_blank" w:history="1">
            <w:r w:rsidR="008C4B9E" w:rsidRPr="008C4B9E">
              <w:rPr>
                <w:rFonts w:ascii="Times New Roman" w:eastAsia="Times New Roman" w:hAnsi="Times New Roman" w:cs="Times New Roman"/>
                <w:color w:val="1155CC"/>
                <w:sz w:val="24"/>
                <w:szCs w:val="24"/>
                <w:u w:val="single"/>
              </w:rPr>
              <w:t>https://www.ruralcenter.org/resource-library/best-practice-concepts-in-revenue-cycle-management-guide</w:t>
            </w:r>
          </w:hyperlink>
        </w:p>
        <w:p w:rsidR="008C2331" w:rsidRPr="008C4B9E" w:rsidRDefault="008C2331" w:rsidP="0021538A">
          <w:pPr>
            <w:spacing w:line="480" w:lineRule="auto"/>
            <w:ind w:left="720" w:hanging="720"/>
            <w:rPr>
              <w:rFonts w:ascii="Times New Roman" w:hAnsi="Times New Roman" w:cs="Times New Roman"/>
              <w:sz w:val="24"/>
              <w:szCs w:val="24"/>
            </w:rPr>
          </w:pPr>
        </w:p>
        <w:p w:rsidR="00207604" w:rsidRPr="008C4B9E" w:rsidRDefault="00207604" w:rsidP="0021538A">
          <w:pPr>
            <w:spacing w:line="480" w:lineRule="auto"/>
            <w:ind w:left="720" w:hanging="720"/>
            <w:rPr>
              <w:rFonts w:ascii="Times New Roman" w:hAnsi="Times New Roman" w:cs="Times New Roman"/>
              <w:sz w:val="24"/>
              <w:szCs w:val="24"/>
            </w:rPr>
          </w:pPr>
        </w:p>
        <w:p w:rsidR="008C2331" w:rsidRPr="008C4B9E" w:rsidRDefault="000E535D" w:rsidP="0021538A">
          <w:pPr>
            <w:spacing w:line="480" w:lineRule="auto"/>
            <w:ind w:left="720" w:hanging="720"/>
            <w:rPr>
              <w:rFonts w:ascii="Times New Roman" w:hAnsi="Times New Roman" w:cs="Times New Roman"/>
              <w:sz w:val="24"/>
              <w:szCs w:val="24"/>
            </w:rPr>
          </w:pPr>
          <w:r w:rsidRPr="008C4B9E">
            <w:rPr>
              <w:rFonts w:ascii="Times New Roman" w:hAnsi="Times New Roman" w:cs="Times New Roman"/>
              <w:sz w:val="24"/>
              <w:szCs w:val="24"/>
            </w:rPr>
            <w:fldChar w:fldCharType="end"/>
          </w:r>
        </w:p>
      </w:sdtContent>
    </w:sdt>
    <w:p w:rsidR="008C2331" w:rsidRPr="008C4B9E" w:rsidRDefault="008C2331" w:rsidP="0021538A">
      <w:pPr>
        <w:spacing w:line="480" w:lineRule="auto"/>
        <w:ind w:left="720" w:hanging="720"/>
        <w:jc w:val="both"/>
        <w:rPr>
          <w:rFonts w:ascii="Times New Roman" w:hAnsi="Times New Roman" w:cs="Times New Roman"/>
          <w:sz w:val="24"/>
          <w:szCs w:val="24"/>
        </w:rPr>
      </w:pPr>
    </w:p>
    <w:p w:rsidR="00E35F0D" w:rsidRPr="008C4B9E" w:rsidRDefault="00E35F0D" w:rsidP="0021538A">
      <w:pPr>
        <w:spacing w:line="480" w:lineRule="auto"/>
        <w:ind w:left="720" w:hanging="720"/>
        <w:jc w:val="both"/>
        <w:rPr>
          <w:rFonts w:ascii="Times New Roman" w:hAnsi="Times New Roman" w:cs="Times New Roman"/>
          <w:sz w:val="24"/>
          <w:szCs w:val="24"/>
        </w:rPr>
      </w:pPr>
    </w:p>
    <w:sectPr w:rsidR="00E35F0D" w:rsidRPr="008C4B9E" w:rsidSect="003C0CEB">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16D" w:rsidRDefault="0050016D" w:rsidP="00831EFA">
      <w:pPr>
        <w:spacing w:after="0" w:line="240" w:lineRule="auto"/>
      </w:pPr>
      <w:r>
        <w:separator/>
      </w:r>
    </w:p>
  </w:endnote>
  <w:endnote w:type="continuationSeparator" w:id="0">
    <w:p w:rsidR="0050016D" w:rsidRDefault="0050016D" w:rsidP="00831E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16D" w:rsidRDefault="0050016D" w:rsidP="00831EFA">
      <w:pPr>
        <w:spacing w:after="0" w:line="240" w:lineRule="auto"/>
      </w:pPr>
      <w:r>
        <w:separator/>
      </w:r>
    </w:p>
  </w:footnote>
  <w:footnote w:type="continuationSeparator" w:id="0">
    <w:p w:rsidR="0050016D" w:rsidRDefault="0050016D" w:rsidP="00831E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2417955"/>
      <w:docPartObj>
        <w:docPartGallery w:val="Page Numbers (Top of Page)"/>
        <w:docPartUnique/>
      </w:docPartObj>
    </w:sdtPr>
    <w:sdtEndPr>
      <w:rPr>
        <w:noProof/>
      </w:rPr>
    </w:sdtEndPr>
    <w:sdtContent>
      <w:p w:rsidR="00207604" w:rsidRPr="003C0CEB" w:rsidRDefault="001719C8" w:rsidP="003C0CEB">
        <w:pPr>
          <w:pStyle w:val="Header"/>
          <w:rPr>
            <w:rFonts w:ascii="Times New Roman" w:hAnsi="Times New Roman" w:cs="Times New Roman"/>
            <w:sz w:val="24"/>
            <w:szCs w:val="24"/>
          </w:rPr>
        </w:pPr>
        <w:r w:rsidRPr="003C0CEB">
          <w:rPr>
            <w:rFonts w:ascii="Times New Roman" w:hAnsi="Times New Roman" w:cs="Times New Roman"/>
            <w:sz w:val="24"/>
            <w:szCs w:val="24"/>
          </w:rPr>
          <w:t xml:space="preserve">BEST </w:t>
        </w:r>
        <w:r w:rsidR="003C0CEB">
          <w:rPr>
            <w:rFonts w:ascii="Times New Roman" w:hAnsi="Times New Roman" w:cs="Times New Roman"/>
            <w:sz w:val="24"/>
            <w:szCs w:val="24"/>
          </w:rPr>
          <w:t>PRACTICES IN THE REVENUE CYCLE MANAGEMENT</w:t>
        </w:r>
        <w:r w:rsidRPr="003C0CEB">
          <w:rPr>
            <w:rFonts w:ascii="Times New Roman" w:hAnsi="Times New Roman" w:cs="Times New Roman"/>
            <w:sz w:val="24"/>
            <w:szCs w:val="24"/>
          </w:rPr>
          <w:t xml:space="preserve">                    </w:t>
        </w:r>
        <w:r w:rsidR="003C0CEB">
          <w:rPr>
            <w:rFonts w:ascii="Times New Roman" w:hAnsi="Times New Roman" w:cs="Times New Roman"/>
            <w:sz w:val="24"/>
            <w:szCs w:val="24"/>
          </w:rPr>
          <w:t xml:space="preserve">                       </w:t>
        </w:r>
        <w:r w:rsidR="000E535D" w:rsidRPr="003C0CEB">
          <w:rPr>
            <w:rFonts w:ascii="Times New Roman" w:hAnsi="Times New Roman" w:cs="Times New Roman"/>
            <w:sz w:val="24"/>
            <w:szCs w:val="24"/>
          </w:rPr>
          <w:fldChar w:fldCharType="begin"/>
        </w:r>
        <w:r w:rsidRPr="003C0CEB">
          <w:rPr>
            <w:rFonts w:ascii="Times New Roman" w:hAnsi="Times New Roman" w:cs="Times New Roman"/>
            <w:sz w:val="24"/>
            <w:szCs w:val="24"/>
          </w:rPr>
          <w:instrText xml:space="preserve"> PAGE   \* MERGEFORMAT </w:instrText>
        </w:r>
        <w:r w:rsidR="000E535D" w:rsidRPr="003C0CEB">
          <w:rPr>
            <w:rFonts w:ascii="Times New Roman" w:hAnsi="Times New Roman" w:cs="Times New Roman"/>
            <w:sz w:val="24"/>
            <w:szCs w:val="24"/>
          </w:rPr>
          <w:fldChar w:fldCharType="separate"/>
        </w:r>
        <w:r w:rsidR="0021538A">
          <w:rPr>
            <w:rFonts w:ascii="Times New Roman" w:hAnsi="Times New Roman" w:cs="Times New Roman"/>
            <w:noProof/>
            <w:sz w:val="24"/>
            <w:szCs w:val="24"/>
          </w:rPr>
          <w:t>4</w:t>
        </w:r>
        <w:r w:rsidR="000E535D" w:rsidRPr="003C0CEB">
          <w:rPr>
            <w:rFonts w:ascii="Times New Roman" w:hAnsi="Times New Roman" w:cs="Times New Roman"/>
            <w:noProof/>
            <w:sz w:val="24"/>
            <w:szCs w:val="24"/>
          </w:rPr>
          <w:fldChar w:fldCharType="end"/>
        </w:r>
      </w:p>
    </w:sdtContent>
  </w:sdt>
  <w:p w:rsidR="00207604" w:rsidRPr="003C0CEB" w:rsidRDefault="0020760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CEB" w:rsidRPr="003C0CEB" w:rsidRDefault="001719C8" w:rsidP="003C0CEB">
    <w:pPr>
      <w:pStyle w:val="Header"/>
      <w:rPr>
        <w:rFonts w:ascii="Times New Roman" w:hAnsi="Times New Roman" w:cs="Times New Roman"/>
        <w:sz w:val="24"/>
        <w:szCs w:val="24"/>
      </w:rPr>
    </w:pPr>
    <w:r w:rsidRPr="003C0CEB">
      <w:rPr>
        <w:rFonts w:ascii="Times New Roman" w:hAnsi="Times New Roman" w:cs="Times New Roman"/>
        <w:sz w:val="24"/>
        <w:szCs w:val="24"/>
      </w:rPr>
      <w:t>Running head:</w:t>
    </w:r>
    <w:sdt>
      <w:sdtPr>
        <w:rPr>
          <w:rFonts w:ascii="Times New Roman" w:hAnsi="Times New Roman" w:cs="Times New Roman"/>
          <w:sz w:val="24"/>
          <w:szCs w:val="24"/>
        </w:rPr>
        <w:id w:val="59550158"/>
        <w:docPartObj>
          <w:docPartGallery w:val="Page Numbers (Top of Page)"/>
          <w:docPartUnique/>
        </w:docPartObj>
      </w:sdtPr>
      <w:sdtContent>
        <w:r w:rsidRPr="003C0CEB">
          <w:rPr>
            <w:rFonts w:ascii="Times New Roman" w:hAnsi="Times New Roman" w:cs="Times New Roman"/>
            <w:sz w:val="24"/>
            <w:szCs w:val="24"/>
          </w:rPr>
          <w:t xml:space="preserve"> BEST PRACTICES IN THE REVENUE CYCLE </w:t>
        </w:r>
        <w:r>
          <w:rPr>
            <w:rFonts w:ascii="Times New Roman" w:hAnsi="Times New Roman" w:cs="Times New Roman"/>
            <w:sz w:val="24"/>
            <w:szCs w:val="24"/>
          </w:rPr>
          <w:t>MANAGEMENT</w:t>
        </w:r>
      </w:sdtContent>
    </w:sdt>
  </w:p>
  <w:p w:rsidR="003C0CEB" w:rsidRPr="003C0CEB" w:rsidRDefault="003C0CE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043B1"/>
    <w:rsid w:val="00040BB2"/>
    <w:rsid w:val="00062B98"/>
    <w:rsid w:val="0009532E"/>
    <w:rsid w:val="000E535D"/>
    <w:rsid w:val="001043B1"/>
    <w:rsid w:val="001712F6"/>
    <w:rsid w:val="001719C8"/>
    <w:rsid w:val="00207604"/>
    <w:rsid w:val="0021538A"/>
    <w:rsid w:val="00261ED8"/>
    <w:rsid w:val="002E23D6"/>
    <w:rsid w:val="003C0CEB"/>
    <w:rsid w:val="003E0A36"/>
    <w:rsid w:val="0050016D"/>
    <w:rsid w:val="006E4DED"/>
    <w:rsid w:val="007523C5"/>
    <w:rsid w:val="00770A00"/>
    <w:rsid w:val="007B6C65"/>
    <w:rsid w:val="00831EFA"/>
    <w:rsid w:val="00860240"/>
    <w:rsid w:val="00882AF4"/>
    <w:rsid w:val="008B74B9"/>
    <w:rsid w:val="008C2331"/>
    <w:rsid w:val="008C4B9E"/>
    <w:rsid w:val="008D247D"/>
    <w:rsid w:val="009D5E6A"/>
    <w:rsid w:val="00A46334"/>
    <w:rsid w:val="00A5335F"/>
    <w:rsid w:val="00AB60FB"/>
    <w:rsid w:val="00AC065E"/>
    <w:rsid w:val="00BA3CFC"/>
    <w:rsid w:val="00C85466"/>
    <w:rsid w:val="00CC7303"/>
    <w:rsid w:val="00E35F0D"/>
    <w:rsid w:val="00EA7D5F"/>
    <w:rsid w:val="00F719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65E"/>
  </w:style>
  <w:style w:type="paragraph" w:styleId="Heading1">
    <w:name w:val="heading 1"/>
    <w:basedOn w:val="Normal"/>
    <w:next w:val="Normal"/>
    <w:link w:val="Heading1Char"/>
    <w:uiPriority w:val="9"/>
    <w:qFormat/>
    <w:rsid w:val="00E35F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A36"/>
  </w:style>
  <w:style w:type="paragraph" w:styleId="Footer">
    <w:name w:val="footer"/>
    <w:basedOn w:val="Normal"/>
    <w:link w:val="FooterChar"/>
    <w:uiPriority w:val="99"/>
    <w:unhideWhenUsed/>
    <w:rsid w:val="003E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A36"/>
  </w:style>
  <w:style w:type="character" w:customStyle="1" w:styleId="Heading1Char">
    <w:name w:val="Heading 1 Char"/>
    <w:basedOn w:val="DefaultParagraphFont"/>
    <w:link w:val="Heading1"/>
    <w:uiPriority w:val="9"/>
    <w:rsid w:val="00E35F0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C233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31EFA"/>
    <w:pPr>
      <w:spacing w:line="240" w:lineRule="auto"/>
    </w:pPr>
    <w:rPr>
      <w:sz w:val="20"/>
      <w:szCs w:val="20"/>
    </w:rPr>
  </w:style>
  <w:style w:type="character" w:customStyle="1" w:styleId="CommentTextChar">
    <w:name w:val="Comment Text Char"/>
    <w:basedOn w:val="DefaultParagraphFont"/>
    <w:link w:val="CommentText"/>
    <w:uiPriority w:val="99"/>
    <w:semiHidden/>
    <w:rsid w:val="00831EFA"/>
    <w:rPr>
      <w:sz w:val="20"/>
      <w:szCs w:val="20"/>
    </w:rPr>
  </w:style>
  <w:style w:type="paragraph" w:styleId="BalloonText">
    <w:name w:val="Balloon Text"/>
    <w:basedOn w:val="Normal"/>
    <w:link w:val="BalloonTextChar"/>
    <w:uiPriority w:val="99"/>
    <w:semiHidden/>
    <w:unhideWhenUsed/>
    <w:rsid w:val="006E4D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DED"/>
    <w:rPr>
      <w:rFonts w:ascii="Tahoma" w:hAnsi="Tahoma" w:cs="Tahoma"/>
      <w:sz w:val="16"/>
      <w:szCs w:val="16"/>
    </w:rPr>
  </w:style>
  <w:style w:type="character" w:styleId="Hyperlink">
    <w:name w:val="Hyperlink"/>
    <w:basedOn w:val="DefaultParagraphFont"/>
    <w:uiPriority w:val="99"/>
    <w:semiHidden/>
    <w:unhideWhenUsed/>
    <w:rsid w:val="008C4B9E"/>
    <w:rPr>
      <w:color w:val="0000FF"/>
      <w:u w:val="single"/>
    </w:rPr>
  </w:style>
</w:styles>
</file>

<file path=word/webSettings.xml><?xml version="1.0" encoding="utf-8"?>
<w:webSettings xmlns:r="http://schemas.openxmlformats.org/officeDocument/2006/relationships" xmlns:w="http://schemas.openxmlformats.org/wordprocessingml/2006/main">
  <w:divs>
    <w:div w:id="635381749">
      <w:bodyDiv w:val="1"/>
      <w:marLeft w:val="0"/>
      <w:marRight w:val="0"/>
      <w:marTop w:val="0"/>
      <w:marBottom w:val="0"/>
      <w:divBdr>
        <w:top w:val="none" w:sz="0" w:space="0" w:color="auto"/>
        <w:left w:val="none" w:sz="0" w:space="0" w:color="auto"/>
        <w:bottom w:val="none" w:sz="0" w:space="0" w:color="auto"/>
        <w:right w:val="none" w:sz="0" w:space="0" w:color="auto"/>
      </w:divBdr>
      <w:divsChild>
        <w:div w:id="913272077">
          <w:marLeft w:val="0"/>
          <w:marRight w:val="0"/>
          <w:marTop w:val="0"/>
          <w:marBottom w:val="0"/>
          <w:divBdr>
            <w:top w:val="none" w:sz="0" w:space="0" w:color="auto"/>
            <w:left w:val="none" w:sz="0" w:space="0" w:color="auto"/>
            <w:bottom w:val="none" w:sz="0" w:space="0" w:color="auto"/>
            <w:right w:val="none" w:sz="0" w:space="0" w:color="auto"/>
          </w:divBdr>
          <w:divsChild>
            <w:div w:id="1467117083">
              <w:marLeft w:val="0"/>
              <w:marRight w:val="0"/>
              <w:marTop w:val="0"/>
              <w:marBottom w:val="0"/>
              <w:divBdr>
                <w:top w:val="none" w:sz="0" w:space="0" w:color="auto"/>
                <w:left w:val="none" w:sz="0" w:space="0" w:color="auto"/>
                <w:bottom w:val="none" w:sz="0" w:space="0" w:color="auto"/>
                <w:right w:val="none" w:sz="0" w:space="0" w:color="auto"/>
              </w:divBdr>
              <w:divsChild>
                <w:div w:id="2026593782">
                  <w:marLeft w:val="0"/>
                  <w:marRight w:val="0"/>
                  <w:marTop w:val="120"/>
                  <w:marBottom w:val="0"/>
                  <w:divBdr>
                    <w:top w:val="none" w:sz="0" w:space="0" w:color="auto"/>
                    <w:left w:val="none" w:sz="0" w:space="0" w:color="auto"/>
                    <w:bottom w:val="none" w:sz="0" w:space="0" w:color="auto"/>
                    <w:right w:val="none" w:sz="0" w:space="0" w:color="auto"/>
                  </w:divBdr>
                  <w:divsChild>
                    <w:div w:id="1209223113">
                      <w:marLeft w:val="0"/>
                      <w:marRight w:val="0"/>
                      <w:marTop w:val="0"/>
                      <w:marBottom w:val="0"/>
                      <w:divBdr>
                        <w:top w:val="none" w:sz="0" w:space="0" w:color="auto"/>
                        <w:left w:val="none" w:sz="0" w:space="0" w:color="auto"/>
                        <w:bottom w:val="none" w:sz="0" w:space="0" w:color="auto"/>
                        <w:right w:val="none" w:sz="0" w:space="0" w:color="auto"/>
                      </w:divBdr>
                      <w:divsChild>
                        <w:div w:id="10605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uralcenter.org/resource-library/best-practice-concepts-in-revenue-cycle-management-gui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Nat14</b:Tag>
    <b:SourceType>JournalArticle</b:SourceType>
    <b:Guid>{7FBF07A7-C786-46F2-B026-EC16BA9DF97C}</b:Guid>
    <b:Author>
      <b:Author>
        <b:NameList>
          <b:Person>
            <b:Last>National Rural Health Resource Center (The Center)</b:Last>
            <b:First>Eide</b:First>
            <b:Middle>Bailly</b:Middle>
          </b:Person>
        </b:NameList>
      </b:Author>
    </b:Author>
    <b:Title>Best Practice Concepts in Revenue Cycle Management Guide</b:Title>
    <b:JournalName>National Rural Health Resource Centre</b:JournalName>
    <b:Year>2014</b:Year>
    <b:MonthAccessed>11</b:MonthAccessed>
    <b:DayAccessed>9</b:DayAccessed>
    <b:URL>https://www.ruralcenter.org/resource-library/best-practice-concepts-in-revenue-cycle-management-guide</b:URL>
    <b:RefOrder>1</b:RefOrder>
  </b:Source>
</b:Sources>
</file>

<file path=customXml/itemProps1.xml><?xml version="1.0" encoding="utf-8"?>
<ds:datastoreItem xmlns:ds="http://schemas.openxmlformats.org/officeDocument/2006/customXml" ds:itemID="{B9ECDE65-A71F-4049-9B3F-D19C5F7D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mwaura</cp:lastModifiedBy>
  <cp:revision>7</cp:revision>
  <dcterms:created xsi:type="dcterms:W3CDTF">2018-09-11T12:29:00Z</dcterms:created>
  <dcterms:modified xsi:type="dcterms:W3CDTF">2018-09-11T15:42:00Z</dcterms:modified>
</cp:coreProperties>
</file>